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42A8A" w14:textId="30D30B67" w:rsidR="006B6AFA" w:rsidRDefault="006B6AFA">
      <w:pPr>
        <w:rPr>
          <w:rFonts w:ascii="Times New Roman" w:hAnsi="Times New Roman" w:cs="Times New Roman"/>
          <w:b/>
          <w:bCs/>
          <w:i/>
          <w:iCs/>
          <w:lang w:val="it-IT"/>
        </w:rPr>
      </w:pPr>
      <w:proofErr w:type="spellStart"/>
      <w:r w:rsidRPr="006B6AFA">
        <w:rPr>
          <w:rFonts w:ascii="Times-Roman" w:hAnsi="Times-Roman" w:cs="Times-Roman"/>
          <w:b/>
          <w:bCs/>
          <w:kern w:val="0"/>
          <w:lang w:val="it-IT"/>
        </w:rPr>
        <w:t>Título</w:t>
      </w:r>
      <w:proofErr w:type="spellEnd"/>
      <w:r w:rsidRPr="006B6AFA">
        <w:rPr>
          <w:rFonts w:ascii="Times-Roman" w:hAnsi="Times-Roman" w:cs="Times-Roman"/>
          <w:b/>
          <w:bCs/>
          <w:kern w:val="0"/>
          <w:lang w:val="it-IT"/>
        </w:rPr>
        <w:t xml:space="preserve"> </w:t>
      </w:r>
      <w:proofErr w:type="gramStart"/>
      <w:r w:rsidRPr="006B6AFA">
        <w:rPr>
          <w:rFonts w:ascii="Times-Roman" w:hAnsi="Times-Roman" w:cs="Times-Roman"/>
          <w:b/>
          <w:bCs/>
          <w:kern w:val="0"/>
          <w:lang w:val="it-IT"/>
        </w:rPr>
        <w:t>del</w:t>
      </w:r>
      <w:proofErr w:type="gramEnd"/>
      <w:r w:rsidRPr="006B6AFA">
        <w:rPr>
          <w:rFonts w:ascii="Times-Roman" w:hAnsi="Times-Roman" w:cs="Times-Roman"/>
          <w:b/>
          <w:bCs/>
          <w:kern w:val="0"/>
          <w:lang w:val="it-IT"/>
        </w:rPr>
        <w:t xml:space="preserve"> </w:t>
      </w:r>
      <w:r w:rsidRPr="006B6AFA">
        <w:rPr>
          <w:rFonts w:ascii="Times-Roman" w:hAnsi="Times-Roman" w:cs="Times-Roman"/>
          <w:b/>
          <w:bCs/>
          <w:kern w:val="0"/>
          <w:lang w:val="it-IT"/>
        </w:rPr>
        <w:t xml:space="preserve">studio: </w:t>
      </w:r>
      <w:proofErr w:type="spellStart"/>
      <w:r w:rsidRPr="006B6AFA">
        <w:rPr>
          <w:rFonts w:ascii="Times-Roman" w:hAnsi="Times-Roman" w:cs="Times-Roman"/>
          <w:b/>
          <w:bCs/>
          <w:i/>
          <w:iCs/>
          <w:lang w:val="it-IT"/>
        </w:rPr>
        <w:t>Validación</w:t>
      </w:r>
      <w:proofErr w:type="spellEnd"/>
      <w:r w:rsidRPr="006B6AFA">
        <w:rPr>
          <w:rFonts w:ascii="Times-Roman" w:hAnsi="Times-Roman" w:cs="Times-Roman"/>
          <w:b/>
          <w:bCs/>
          <w:i/>
          <w:iCs/>
          <w:lang w:val="it-IT"/>
        </w:rPr>
        <w:t xml:space="preserve"> de CHOLE-POSSUM PRO para la </w:t>
      </w:r>
      <w:proofErr w:type="spellStart"/>
      <w:r w:rsidRPr="006B6AFA">
        <w:rPr>
          <w:rFonts w:ascii="Times-Roman" w:hAnsi="Times-Roman" w:cs="Times-Roman"/>
          <w:b/>
          <w:bCs/>
          <w:i/>
          <w:iCs/>
          <w:lang w:val="it-IT"/>
        </w:rPr>
        <w:t>predicción</w:t>
      </w:r>
      <w:proofErr w:type="spellEnd"/>
      <w:r w:rsidRPr="006B6AFA">
        <w:rPr>
          <w:rFonts w:ascii="Times-Roman" w:hAnsi="Times-Roman" w:cs="Times-Roman"/>
          <w:b/>
          <w:bCs/>
          <w:i/>
          <w:iCs/>
          <w:lang w:val="it-IT"/>
        </w:rPr>
        <w:t xml:space="preserve"> de </w:t>
      </w:r>
      <w:proofErr w:type="spellStart"/>
      <w:r w:rsidRPr="006B6AFA">
        <w:rPr>
          <w:rFonts w:ascii="Times-Roman" w:hAnsi="Times-Roman" w:cs="Times-Roman"/>
          <w:b/>
          <w:bCs/>
          <w:i/>
          <w:iCs/>
          <w:lang w:val="it-IT"/>
        </w:rPr>
        <w:t>mortalidad</w:t>
      </w:r>
      <w:proofErr w:type="spellEnd"/>
      <w:r w:rsidRPr="006B6AFA">
        <w:rPr>
          <w:rFonts w:ascii="Times-Roman" w:hAnsi="Times-Roman" w:cs="Times-Roman"/>
          <w:b/>
          <w:bCs/>
          <w:i/>
          <w:iCs/>
          <w:lang w:val="it-IT"/>
        </w:rPr>
        <w:t xml:space="preserve"> </w:t>
      </w:r>
      <w:proofErr w:type="spellStart"/>
      <w:r w:rsidRPr="006B6AFA">
        <w:rPr>
          <w:rFonts w:ascii="Times-Roman" w:hAnsi="Times-Roman" w:cs="Times-Roman"/>
          <w:b/>
          <w:bCs/>
          <w:i/>
          <w:iCs/>
          <w:lang w:val="it-IT"/>
        </w:rPr>
        <w:t>después</w:t>
      </w:r>
      <w:proofErr w:type="spellEnd"/>
      <w:r w:rsidRPr="006B6AFA">
        <w:rPr>
          <w:rFonts w:ascii="Times-Roman" w:hAnsi="Times-Roman" w:cs="Times-Roman"/>
          <w:b/>
          <w:bCs/>
          <w:i/>
          <w:iCs/>
          <w:lang w:val="it-IT"/>
        </w:rPr>
        <w:t xml:space="preserve"> de </w:t>
      </w:r>
      <w:proofErr w:type="spellStart"/>
      <w:r w:rsidRPr="006B6AFA">
        <w:rPr>
          <w:rFonts w:ascii="Times-Roman" w:hAnsi="Times-Roman" w:cs="Times-Roman"/>
          <w:b/>
          <w:bCs/>
          <w:i/>
          <w:iCs/>
          <w:lang w:val="it-IT"/>
        </w:rPr>
        <w:t>colecistectomía</w:t>
      </w:r>
      <w:proofErr w:type="spellEnd"/>
      <w:r w:rsidRPr="006B6AFA">
        <w:rPr>
          <w:rFonts w:ascii="Times-Roman" w:hAnsi="Times-Roman" w:cs="Times-Roman"/>
          <w:b/>
          <w:bCs/>
          <w:i/>
          <w:iCs/>
          <w:lang w:val="it-IT"/>
        </w:rPr>
        <w:t xml:space="preserve"> por </w:t>
      </w:r>
      <w:proofErr w:type="spellStart"/>
      <w:r w:rsidRPr="006B6AFA">
        <w:rPr>
          <w:rFonts w:ascii="Times-Roman" w:hAnsi="Times-Roman" w:cs="Times-Roman"/>
          <w:b/>
          <w:bCs/>
          <w:i/>
          <w:iCs/>
          <w:lang w:val="it-IT"/>
        </w:rPr>
        <w:t>colecistitis</w:t>
      </w:r>
      <w:proofErr w:type="spellEnd"/>
      <w:r w:rsidRPr="006B6AFA">
        <w:rPr>
          <w:rFonts w:ascii="Times-Roman" w:hAnsi="Times-Roman" w:cs="Times-Roman"/>
          <w:b/>
          <w:bCs/>
          <w:i/>
          <w:iCs/>
          <w:lang w:val="it-IT"/>
        </w:rPr>
        <w:t xml:space="preserve"> </w:t>
      </w:r>
      <w:proofErr w:type="spellStart"/>
      <w:r w:rsidRPr="006B6AFA">
        <w:rPr>
          <w:rFonts w:ascii="Times-Roman" w:hAnsi="Times-Roman" w:cs="Times-Roman"/>
          <w:b/>
          <w:bCs/>
          <w:i/>
          <w:iCs/>
          <w:lang w:val="it-IT"/>
        </w:rPr>
        <w:t>aguda</w:t>
      </w:r>
      <w:proofErr w:type="spellEnd"/>
      <w:r w:rsidRPr="006B6AFA">
        <w:rPr>
          <w:rFonts w:ascii="Times-Roman" w:hAnsi="Times-Roman" w:cs="Times-Roman"/>
          <w:b/>
          <w:bCs/>
          <w:i/>
          <w:iCs/>
          <w:lang w:val="it-IT"/>
        </w:rPr>
        <w:t xml:space="preserve"> </w:t>
      </w:r>
      <w:proofErr w:type="spellStart"/>
      <w:r w:rsidRPr="006B6AFA">
        <w:rPr>
          <w:rFonts w:ascii="Times-Roman" w:hAnsi="Times-Roman" w:cs="Times-Roman"/>
          <w:b/>
          <w:bCs/>
          <w:i/>
          <w:iCs/>
          <w:lang w:val="it-IT"/>
        </w:rPr>
        <w:t>calculosa</w:t>
      </w:r>
      <w:proofErr w:type="spellEnd"/>
      <w:r w:rsidRPr="006B6AFA">
        <w:rPr>
          <w:rFonts w:ascii="Times-Roman" w:hAnsi="Times-Roman" w:cs="Times-Roman"/>
          <w:b/>
          <w:bCs/>
          <w:i/>
          <w:iCs/>
          <w:lang w:val="it-IT"/>
        </w:rPr>
        <w:t xml:space="preserve">: </w:t>
      </w:r>
      <w:proofErr w:type="spellStart"/>
      <w:r w:rsidRPr="006B6AFA">
        <w:rPr>
          <w:rFonts w:ascii="Times-Roman" w:hAnsi="Times-Roman" w:cs="Times-Roman"/>
          <w:b/>
          <w:bCs/>
          <w:i/>
          <w:iCs/>
          <w:lang w:val="it-IT"/>
        </w:rPr>
        <w:t>protocolo</w:t>
      </w:r>
      <w:proofErr w:type="spellEnd"/>
      <w:r w:rsidRPr="006B6AFA">
        <w:rPr>
          <w:rFonts w:ascii="Times-Roman" w:hAnsi="Times-Roman" w:cs="Times-Roman"/>
          <w:b/>
          <w:bCs/>
          <w:i/>
          <w:iCs/>
          <w:lang w:val="it-IT"/>
        </w:rPr>
        <w:t xml:space="preserve"> para un </w:t>
      </w:r>
      <w:proofErr w:type="spellStart"/>
      <w:r w:rsidRPr="006B6AFA">
        <w:rPr>
          <w:rFonts w:ascii="Times-Roman" w:hAnsi="Times-Roman" w:cs="Times-Roman"/>
          <w:b/>
          <w:bCs/>
          <w:i/>
          <w:iCs/>
          <w:lang w:val="it-IT"/>
        </w:rPr>
        <w:t>estudio</w:t>
      </w:r>
      <w:proofErr w:type="spellEnd"/>
      <w:r w:rsidRPr="006B6AFA">
        <w:rPr>
          <w:rFonts w:ascii="Times-Roman" w:hAnsi="Times-Roman" w:cs="Times-Roman"/>
          <w:b/>
          <w:bCs/>
          <w:i/>
          <w:iCs/>
          <w:lang w:val="it-IT"/>
        </w:rPr>
        <w:t xml:space="preserve"> </w:t>
      </w:r>
      <w:proofErr w:type="spellStart"/>
      <w:r w:rsidRPr="006B6AFA">
        <w:rPr>
          <w:rFonts w:ascii="Times-Roman" w:hAnsi="Times-Roman" w:cs="Times-Roman"/>
          <w:b/>
          <w:bCs/>
          <w:i/>
          <w:iCs/>
          <w:lang w:val="it-IT"/>
        </w:rPr>
        <w:t>observacional</w:t>
      </w:r>
      <w:proofErr w:type="spellEnd"/>
      <w:r w:rsidRPr="006B6AFA">
        <w:rPr>
          <w:rFonts w:ascii="Times-Roman" w:hAnsi="Times-Roman" w:cs="Times-Roman"/>
          <w:b/>
          <w:bCs/>
          <w:i/>
          <w:iCs/>
          <w:lang w:val="it-IT"/>
        </w:rPr>
        <w:t xml:space="preserve"> </w:t>
      </w:r>
      <w:proofErr w:type="spellStart"/>
      <w:r w:rsidRPr="006B6AFA">
        <w:rPr>
          <w:rFonts w:ascii="Times-Roman" w:hAnsi="Times-Roman" w:cs="Times-Roman"/>
          <w:b/>
          <w:bCs/>
          <w:i/>
          <w:iCs/>
          <w:lang w:val="it-IT"/>
        </w:rPr>
        <w:t>multicéntrico</w:t>
      </w:r>
      <w:proofErr w:type="spellEnd"/>
      <w:r w:rsidRPr="006B6AFA">
        <w:rPr>
          <w:rFonts w:ascii="Times-Roman" w:hAnsi="Times-Roman" w:cs="Times-Roman"/>
          <w:b/>
          <w:bCs/>
          <w:i/>
          <w:iCs/>
          <w:lang w:val="it-IT"/>
        </w:rPr>
        <w:t xml:space="preserve"> </w:t>
      </w:r>
      <w:proofErr w:type="spellStart"/>
      <w:r w:rsidRPr="006B6AFA">
        <w:rPr>
          <w:rFonts w:ascii="Times-Roman" w:hAnsi="Times-Roman" w:cs="Times-Roman"/>
          <w:b/>
          <w:bCs/>
          <w:i/>
          <w:iCs/>
          <w:lang w:val="it-IT"/>
        </w:rPr>
        <w:t>prospectivo</w:t>
      </w:r>
      <w:proofErr w:type="spellEnd"/>
      <w:r w:rsidRPr="006B6AFA">
        <w:rPr>
          <w:rFonts w:ascii="Arial"/>
          <w:b/>
          <w:bCs/>
          <w:i/>
          <w:iCs/>
          <w:lang w:val="it-IT"/>
        </w:rPr>
        <w:t xml:space="preserve"> </w:t>
      </w:r>
      <w:r w:rsidRPr="006B6AFA">
        <w:rPr>
          <w:rFonts w:ascii="Times New Roman" w:hAnsi="Times New Roman" w:cs="Times New Roman"/>
          <w:b/>
          <w:bCs/>
          <w:i/>
          <w:iCs/>
          <w:lang w:val="it-IT"/>
        </w:rPr>
        <w:t>(CHOLE-POSSUM</w:t>
      </w:r>
      <w:r w:rsidRPr="006B6AFA">
        <w:rPr>
          <w:rFonts w:ascii="Times New Roman" w:hAnsi="Times New Roman" w:cs="Times New Roman"/>
          <w:b/>
          <w:bCs/>
          <w:i/>
          <w:iCs/>
          <w:spacing w:val="-5"/>
          <w:lang w:val="it-IT"/>
        </w:rPr>
        <w:t xml:space="preserve"> </w:t>
      </w:r>
      <w:r w:rsidRPr="006B6AFA">
        <w:rPr>
          <w:rFonts w:ascii="Times New Roman" w:hAnsi="Times New Roman" w:cs="Times New Roman"/>
          <w:b/>
          <w:bCs/>
          <w:i/>
          <w:iCs/>
          <w:lang w:val="it-IT"/>
        </w:rPr>
        <w:t>PRO)</w:t>
      </w:r>
    </w:p>
    <w:p w14:paraId="0D854F9E" w14:textId="77777777" w:rsidR="0060048B" w:rsidRDefault="0060048B">
      <w:pPr>
        <w:rPr>
          <w:rFonts w:ascii="Times New Roman" w:hAnsi="Times New Roman" w:cs="Times New Roman"/>
          <w:b/>
          <w:bCs/>
          <w:i/>
          <w:iCs/>
          <w:lang w:val="it-IT"/>
        </w:rPr>
      </w:pPr>
    </w:p>
    <w:p w14:paraId="56055CAB" w14:textId="63EFE46C" w:rsidR="0060048B" w:rsidRDefault="0060048B">
      <w:pPr>
        <w:rPr>
          <w:rFonts w:ascii="Times-Roman" w:hAnsi="Times-Roman" w:cs="Times-Roman"/>
          <w:b/>
          <w:bCs/>
          <w:i/>
          <w:iCs/>
          <w:kern w:val="0"/>
          <w:lang w:val="en-GB"/>
        </w:rPr>
      </w:pPr>
      <w:proofErr w:type="spellStart"/>
      <w:r w:rsidRPr="0060048B">
        <w:rPr>
          <w:rFonts w:ascii="Times-Roman" w:hAnsi="Times-Roman" w:cs="Times-Roman"/>
          <w:b/>
          <w:bCs/>
          <w:kern w:val="0"/>
          <w:lang w:val="en-GB"/>
        </w:rPr>
        <w:t>Título</w:t>
      </w:r>
      <w:proofErr w:type="spellEnd"/>
      <w:r w:rsidRPr="0060048B">
        <w:rPr>
          <w:rFonts w:ascii="Times-Roman" w:hAnsi="Times-Roman" w:cs="Times-Roman"/>
          <w:b/>
          <w:bCs/>
          <w:kern w:val="0"/>
          <w:lang w:val="en-GB"/>
        </w:rPr>
        <w:t xml:space="preserve"> </w:t>
      </w:r>
      <w:proofErr w:type="spellStart"/>
      <w:r w:rsidRPr="0060048B">
        <w:rPr>
          <w:rFonts w:ascii="Times-Roman" w:hAnsi="Times-Roman" w:cs="Times-Roman"/>
          <w:b/>
          <w:bCs/>
          <w:kern w:val="0"/>
          <w:lang w:val="en-GB"/>
        </w:rPr>
        <w:t>corto</w:t>
      </w:r>
      <w:proofErr w:type="spellEnd"/>
      <w:r w:rsidRPr="0060048B">
        <w:rPr>
          <w:rFonts w:ascii="Times-Roman" w:hAnsi="Times-Roman" w:cs="Times-Roman"/>
          <w:b/>
          <w:bCs/>
          <w:i/>
          <w:iCs/>
          <w:kern w:val="0"/>
          <w:lang w:val="en-GB"/>
        </w:rPr>
        <w:t>:</w:t>
      </w:r>
      <w:r w:rsidRPr="0060048B">
        <w:rPr>
          <w:rFonts w:ascii="Times-Roman" w:hAnsi="Times-Roman" w:cs="Times-Roman"/>
          <w:b/>
          <w:bCs/>
          <w:i/>
          <w:iCs/>
          <w:kern w:val="0"/>
          <w:lang w:val="en-GB"/>
        </w:rPr>
        <w:t xml:space="preserve"> CHOLE-POSSUM PRO</w:t>
      </w:r>
    </w:p>
    <w:p w14:paraId="33BCA15F" w14:textId="77777777" w:rsidR="0060048B" w:rsidRDefault="0060048B">
      <w:pPr>
        <w:rPr>
          <w:rFonts w:ascii="Times-Roman" w:hAnsi="Times-Roman" w:cs="Times-Roman"/>
          <w:b/>
          <w:bCs/>
          <w:i/>
          <w:iCs/>
          <w:kern w:val="0"/>
          <w:lang w:val="en-GB"/>
        </w:rPr>
      </w:pPr>
    </w:p>
    <w:p w14:paraId="76AEBD96" w14:textId="10274FC6" w:rsidR="0060048B" w:rsidRDefault="0060048B">
      <w:pPr>
        <w:rPr>
          <w:rFonts w:ascii="Times-Roman" w:hAnsi="Times-Roman" w:cs="Times-Roman"/>
          <w:kern w:val="0"/>
          <w:lang w:val="it-IT"/>
        </w:rPr>
      </w:pPr>
      <w:proofErr w:type="spellStart"/>
      <w:r w:rsidRPr="0060048B">
        <w:rPr>
          <w:rFonts w:ascii="Times-Bold" w:hAnsi="Times-Bold" w:cs="Times-Bold"/>
          <w:b/>
          <w:bCs/>
          <w:kern w:val="0"/>
          <w:lang w:val="it-IT"/>
        </w:rPr>
        <w:t>Fecha</w:t>
      </w:r>
      <w:proofErr w:type="spellEnd"/>
      <w:r w:rsidRPr="0060048B">
        <w:rPr>
          <w:rFonts w:ascii="Times-Bold" w:hAnsi="Times-Bold" w:cs="Times-Bold"/>
          <w:b/>
          <w:bCs/>
          <w:kern w:val="0"/>
          <w:lang w:val="it-IT"/>
        </w:rPr>
        <w:t xml:space="preserve"> y </w:t>
      </w:r>
      <w:proofErr w:type="spellStart"/>
      <w:r w:rsidRPr="0060048B">
        <w:rPr>
          <w:rFonts w:ascii="Times-Bold" w:hAnsi="Times-Bold" w:cs="Times-Bold"/>
          <w:b/>
          <w:bCs/>
          <w:kern w:val="0"/>
          <w:lang w:val="it-IT"/>
        </w:rPr>
        <w:t>versión</w:t>
      </w:r>
      <w:proofErr w:type="spellEnd"/>
      <w:r w:rsidRPr="0060048B">
        <w:rPr>
          <w:rFonts w:ascii="Times-Bold" w:hAnsi="Times-Bold" w:cs="Times-Bold"/>
          <w:b/>
          <w:bCs/>
          <w:kern w:val="0"/>
          <w:lang w:val="it-IT"/>
        </w:rPr>
        <w:t xml:space="preserve"> No:</w:t>
      </w:r>
      <w:r w:rsidRPr="0060048B">
        <w:rPr>
          <w:rFonts w:ascii="Times-Roman" w:hAnsi="Times-Roman" w:cs="Times-Roman"/>
          <w:kern w:val="0"/>
          <w:lang w:val="it-IT"/>
        </w:rPr>
        <w:t xml:space="preserve"> 17 de </w:t>
      </w:r>
      <w:proofErr w:type="spellStart"/>
      <w:r w:rsidRPr="0060048B">
        <w:rPr>
          <w:rFonts w:ascii="Times-Roman" w:hAnsi="Times-Roman" w:cs="Times-Roman"/>
          <w:kern w:val="0"/>
          <w:lang w:val="it-IT"/>
        </w:rPr>
        <w:t>julio</w:t>
      </w:r>
      <w:proofErr w:type="spellEnd"/>
      <w:r w:rsidRPr="0060048B">
        <w:rPr>
          <w:rFonts w:ascii="Times-Roman" w:hAnsi="Times-Roman" w:cs="Times-Roman"/>
          <w:kern w:val="0"/>
          <w:lang w:val="it-IT"/>
        </w:rPr>
        <w:t xml:space="preserve"> de 2023, </w:t>
      </w:r>
      <w:proofErr w:type="spellStart"/>
      <w:r w:rsidRPr="0060048B">
        <w:rPr>
          <w:rFonts w:ascii="Times-Roman" w:hAnsi="Times-Roman" w:cs="Times-Roman"/>
          <w:kern w:val="0"/>
          <w:lang w:val="it-IT"/>
        </w:rPr>
        <w:t>Versión</w:t>
      </w:r>
      <w:proofErr w:type="spellEnd"/>
      <w:r w:rsidRPr="0060048B">
        <w:rPr>
          <w:rFonts w:ascii="Times-Roman" w:hAnsi="Times-Roman" w:cs="Times-Roman"/>
          <w:kern w:val="0"/>
          <w:lang w:val="it-IT"/>
        </w:rPr>
        <w:t xml:space="preserve"> 1.0</w:t>
      </w:r>
    </w:p>
    <w:p w14:paraId="03B69A12" w14:textId="77777777" w:rsidR="0060048B" w:rsidRDefault="0060048B">
      <w:pPr>
        <w:rPr>
          <w:rFonts w:ascii="Times-Roman" w:hAnsi="Times-Roman" w:cs="Times-Roman"/>
          <w:kern w:val="0"/>
          <w:lang w:val="it-IT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5080"/>
        <w:gridCol w:w="5268"/>
      </w:tblGrid>
      <w:tr w:rsidR="0060048B" w14:paraId="4757BB91" w14:textId="77777777" w:rsidTr="000B3123">
        <w:tc>
          <w:tcPr>
            <w:tcW w:w="5080" w:type="dxa"/>
          </w:tcPr>
          <w:p w14:paraId="0ACCDD68" w14:textId="0A8A72C3" w:rsidR="0060048B" w:rsidRDefault="0060048B" w:rsidP="0060048B">
            <w:pPr>
              <w:jc w:val="both"/>
              <w:rPr>
                <w:b/>
                <w:bCs/>
                <w:i/>
                <w:iCs/>
                <w:lang w:val="it-IT"/>
              </w:rPr>
            </w:pPr>
            <w:r>
              <w:rPr>
                <w:rFonts w:ascii="Times-Roman" w:hAnsi="Times-Roman" w:cs="Times-Roman"/>
                <w:kern w:val="0"/>
                <w:lang w:val="en-GB"/>
              </w:rPr>
              <w:t xml:space="preserve">Tipo de </w:t>
            </w:r>
            <w:proofErr w:type="spellStart"/>
            <w:r>
              <w:rPr>
                <w:rFonts w:ascii="Times-Roman" w:hAnsi="Times-Roman" w:cs="Times-Roman"/>
                <w:kern w:val="0"/>
                <w:lang w:val="en-GB"/>
              </w:rPr>
              <w:t>estudio</w:t>
            </w:r>
            <w:proofErr w:type="spellEnd"/>
          </w:p>
        </w:tc>
        <w:tc>
          <w:tcPr>
            <w:tcW w:w="5268" w:type="dxa"/>
          </w:tcPr>
          <w:p w14:paraId="7056A729" w14:textId="7E87A9AA" w:rsidR="0060048B" w:rsidRDefault="0060048B" w:rsidP="0060048B">
            <w:pPr>
              <w:jc w:val="both"/>
              <w:rPr>
                <w:b/>
                <w:bCs/>
                <w:i/>
                <w:iCs/>
                <w:lang w:val="it-IT"/>
              </w:rPr>
            </w:pPr>
            <w:proofErr w:type="spellStart"/>
            <w:r>
              <w:rPr>
                <w:rFonts w:ascii="Times-Roman" w:hAnsi="Times-Roman" w:cs="Times-Roman"/>
                <w:kern w:val="0"/>
                <w:lang w:val="en-GB"/>
              </w:rPr>
              <w:t>Estudio</w:t>
            </w:r>
            <w:proofErr w:type="spellEnd"/>
            <w:r>
              <w:rPr>
                <w:rFonts w:ascii="Times-Roman" w:hAnsi="Times-Roman" w:cs="Times-Roman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Times-Roman" w:hAnsi="Times-Roman" w:cs="Times-Roman"/>
                <w:kern w:val="0"/>
                <w:lang w:val="en-GB"/>
              </w:rPr>
              <w:t>observacional</w:t>
            </w:r>
            <w:proofErr w:type="spellEnd"/>
            <w:r>
              <w:rPr>
                <w:rFonts w:ascii="Times-Roman" w:hAnsi="Times-Roman" w:cs="Times-Roman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Times-Roman" w:hAnsi="Times-Roman" w:cs="Times-Roman"/>
                <w:kern w:val="0"/>
                <w:lang w:val="en-GB"/>
              </w:rPr>
              <w:t>multicéntrico</w:t>
            </w:r>
            <w:proofErr w:type="spellEnd"/>
            <w:r>
              <w:rPr>
                <w:rFonts w:ascii="Times-Roman" w:hAnsi="Times-Roman" w:cs="Times-Roman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Times-Roman" w:hAnsi="Times-Roman" w:cs="Times-Roman"/>
                <w:kern w:val="0"/>
                <w:lang w:val="en-GB"/>
              </w:rPr>
              <w:t>prospectivo</w:t>
            </w:r>
            <w:proofErr w:type="spellEnd"/>
          </w:p>
        </w:tc>
      </w:tr>
      <w:tr w:rsidR="0060048B" w14:paraId="6CAB666B" w14:textId="77777777" w:rsidTr="000B3123">
        <w:tc>
          <w:tcPr>
            <w:tcW w:w="5080" w:type="dxa"/>
          </w:tcPr>
          <w:p w14:paraId="0BC38445" w14:textId="38AEF1BF" w:rsidR="0060048B" w:rsidRDefault="0060048B" w:rsidP="0060048B">
            <w:pPr>
              <w:jc w:val="both"/>
              <w:rPr>
                <w:b/>
                <w:bCs/>
                <w:i/>
                <w:iCs/>
                <w:lang w:val="it-IT"/>
              </w:rPr>
            </w:pPr>
            <w:proofErr w:type="spellStart"/>
            <w:r>
              <w:rPr>
                <w:rFonts w:ascii="Times-Roman" w:hAnsi="Times-Roman" w:cs="Times-Roman"/>
                <w:kern w:val="0"/>
                <w:lang w:val="en-GB"/>
              </w:rPr>
              <w:t>Participantes</w:t>
            </w:r>
            <w:proofErr w:type="spellEnd"/>
            <w:r>
              <w:rPr>
                <w:rFonts w:ascii="Times-Roman" w:hAnsi="Times-Roman" w:cs="Times-Roman"/>
                <w:kern w:val="0"/>
                <w:lang w:val="en-GB"/>
              </w:rPr>
              <w:t xml:space="preserve"> en el estudio</w:t>
            </w:r>
          </w:p>
        </w:tc>
        <w:tc>
          <w:tcPr>
            <w:tcW w:w="5268" w:type="dxa"/>
          </w:tcPr>
          <w:p w14:paraId="482D6F2F" w14:textId="77777777" w:rsidR="0060048B" w:rsidRPr="0060048B" w:rsidRDefault="0060048B" w:rsidP="0060048B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-Roman" w:hAnsi="Times-Roman" w:cs="Times-Roman"/>
                <w:kern w:val="0"/>
                <w:lang w:val="it-IT"/>
              </w:rPr>
            </w:pPr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Los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pacientes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elegibles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para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el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estudio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son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pacientes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adultos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ingresados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con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diagnóstico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de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colecistitis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aguda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calculosa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(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según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los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criterios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de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las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Guías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de Tokio de 2018</w:t>
            </w:r>
            <w:r w:rsidRPr="0060048B">
              <w:rPr>
                <w:rFonts w:ascii="Times-Bold" w:hAnsi="Times-Bold" w:cs="Times-Bold"/>
                <w:kern w:val="0"/>
                <w:vertAlign w:val="superscript"/>
                <w:lang w:val="it-IT"/>
              </w:rPr>
              <w:t>1</w:t>
            </w:r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),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candidatos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a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colecistectomía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durante la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misma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hospitalización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.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Estos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pacientes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deben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ser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estratificados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según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el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riesgo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de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cálculos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en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el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conducto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biliar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principal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según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la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puntuación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israelí</w:t>
            </w:r>
            <w:r w:rsidRPr="0060048B">
              <w:rPr>
                <w:rFonts w:ascii="Times-Bold" w:hAnsi="Times-Bold" w:cs="Times-Bold"/>
                <w:kern w:val="0"/>
                <w:vertAlign w:val="superscript"/>
                <w:lang w:val="it-IT"/>
              </w:rPr>
              <w:t>2</w:t>
            </w:r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y, si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está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indicado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,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sometidos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a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colangiopancreatografía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retrógrada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endoscópica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(ERCP) preoperatoria.</w:t>
            </w:r>
          </w:p>
          <w:p w14:paraId="120F4148" w14:textId="77777777" w:rsidR="0060048B" w:rsidRPr="0060048B" w:rsidRDefault="0060048B" w:rsidP="0060048B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-Roman" w:hAnsi="Times-Roman" w:cs="Times-Roman"/>
                <w:kern w:val="0"/>
                <w:lang w:val="it-IT"/>
              </w:rPr>
            </w:pPr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Los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criterios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de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exclusión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incluyen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: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embarazo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o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lactancia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,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colecistitis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aguda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de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etiología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no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calculosa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,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pancreatitis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concomitante,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aparición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de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síntomas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más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de 10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días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antes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de la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colecistectomía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,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tratamiento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intraoperatorio de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los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cálculos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del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conducto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biliar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Bold" w:hAnsi="Times-Bold" w:cs="Times-Bold"/>
                <w:kern w:val="0"/>
                <w:lang w:val="it-IT"/>
              </w:rPr>
              <w:t>principal</w:t>
            </w:r>
            <w:proofErr w:type="spellEnd"/>
            <w:r w:rsidRPr="0060048B">
              <w:rPr>
                <w:rFonts w:ascii="Times-Bold" w:hAnsi="Times-Bold" w:cs="Times-Bold"/>
                <w:kern w:val="0"/>
                <w:lang w:val="it-IT"/>
              </w:rPr>
              <w:t>.</w:t>
            </w:r>
          </w:p>
          <w:p w14:paraId="66B5EF54" w14:textId="77777777" w:rsidR="0060048B" w:rsidRDefault="0060048B" w:rsidP="0060048B">
            <w:pPr>
              <w:jc w:val="both"/>
              <w:rPr>
                <w:b/>
                <w:bCs/>
                <w:i/>
                <w:iCs/>
                <w:lang w:val="it-IT"/>
              </w:rPr>
            </w:pPr>
          </w:p>
        </w:tc>
      </w:tr>
      <w:tr w:rsidR="0060048B" w14:paraId="11A84346" w14:textId="77777777" w:rsidTr="000B3123">
        <w:tc>
          <w:tcPr>
            <w:tcW w:w="5080" w:type="dxa"/>
          </w:tcPr>
          <w:p w14:paraId="06850F36" w14:textId="3FDC7D99" w:rsidR="0060048B" w:rsidRDefault="0060048B">
            <w:pPr>
              <w:rPr>
                <w:b/>
                <w:bCs/>
                <w:i/>
                <w:iCs/>
                <w:lang w:val="it-IT"/>
              </w:rPr>
            </w:pPr>
            <w:proofErr w:type="spellStart"/>
            <w:r>
              <w:rPr>
                <w:rFonts w:ascii="Times-Roman" w:hAnsi="Times-Roman" w:cs="Times-Roman"/>
                <w:kern w:val="0"/>
                <w:lang w:val="en-GB"/>
              </w:rPr>
              <w:t>Intervención</w:t>
            </w:r>
            <w:proofErr w:type="spellEnd"/>
          </w:p>
        </w:tc>
        <w:tc>
          <w:tcPr>
            <w:tcW w:w="5268" w:type="dxa"/>
          </w:tcPr>
          <w:p w14:paraId="39A53327" w14:textId="559FBF2A" w:rsidR="0060048B" w:rsidRDefault="0060048B" w:rsidP="0060048B">
            <w:pPr>
              <w:jc w:val="both"/>
              <w:rPr>
                <w:b/>
                <w:bCs/>
                <w:i/>
                <w:iCs/>
                <w:lang w:val="it-IT"/>
              </w:rPr>
            </w:pP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Colecistectomía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definida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como "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temprana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"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porque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se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realiza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dentro de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los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10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días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desde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la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aparición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de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los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síntomas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en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pacientes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con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colecistitis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aguda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calculosa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. La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colecistectomía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"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temprana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"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incluye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la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colecistectomía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laparoscópica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, la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colecistectomía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laparotómica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y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los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procedimientos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de "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rescate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" (como la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colecistectomía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subtotal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) en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el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caso de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colecistectomías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60048B">
              <w:rPr>
                <w:rFonts w:ascii="Times-Roman" w:hAnsi="Times-Roman" w:cs="Times-Roman"/>
                <w:kern w:val="0"/>
                <w:lang w:val="it-IT"/>
              </w:rPr>
              <w:t>complejas</w:t>
            </w:r>
            <w:proofErr w:type="spellEnd"/>
            <w:r w:rsidRPr="0060048B">
              <w:rPr>
                <w:rFonts w:ascii="Times-Roman" w:hAnsi="Times-Roman" w:cs="Times-Roman"/>
                <w:kern w:val="0"/>
                <w:lang w:val="it-IT"/>
              </w:rPr>
              <w:t>.</w:t>
            </w:r>
          </w:p>
        </w:tc>
      </w:tr>
      <w:tr w:rsidR="0060048B" w14:paraId="737CD46A" w14:textId="77777777" w:rsidTr="000B3123">
        <w:tc>
          <w:tcPr>
            <w:tcW w:w="5080" w:type="dxa"/>
          </w:tcPr>
          <w:p w14:paraId="7F29A1AD" w14:textId="64FDADBD" w:rsidR="0060048B" w:rsidRDefault="000B3123">
            <w:pPr>
              <w:rPr>
                <w:b/>
                <w:bCs/>
                <w:i/>
                <w:iCs/>
                <w:lang w:val="it-IT"/>
              </w:rPr>
            </w:pPr>
            <w:proofErr w:type="spellStart"/>
            <w:r>
              <w:rPr>
                <w:rFonts w:ascii="Times-Roman" w:hAnsi="Times-Roman" w:cs="Times-Roman"/>
                <w:kern w:val="0"/>
                <w:lang w:val="en-GB"/>
              </w:rPr>
              <w:t>Objetivo</w:t>
            </w:r>
            <w:proofErr w:type="spellEnd"/>
            <w:r>
              <w:rPr>
                <w:rFonts w:ascii="Times-Roman" w:hAnsi="Times-Roman" w:cs="Times-Roman"/>
                <w:kern w:val="0"/>
                <w:lang w:val="en-GB"/>
              </w:rPr>
              <w:t xml:space="preserve"> principal</w:t>
            </w:r>
          </w:p>
        </w:tc>
        <w:tc>
          <w:tcPr>
            <w:tcW w:w="5268" w:type="dxa"/>
          </w:tcPr>
          <w:p w14:paraId="7B2C7476" w14:textId="5C336231" w:rsidR="0060048B" w:rsidRPr="000B3123" w:rsidRDefault="000B3123" w:rsidP="000B3123">
            <w:pPr>
              <w:jc w:val="both"/>
              <w:rPr>
                <w:b/>
                <w:bCs/>
                <w:i/>
                <w:iCs/>
                <w:lang w:val="it-IT"/>
              </w:rPr>
            </w:pPr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Validar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prospectivamente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el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CHOLE-POSSUM PRO en la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predicción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de la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mortalidad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postoperatoria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después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de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colecistectomía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por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colecistitis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aguda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calculosa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>.</w:t>
            </w:r>
          </w:p>
        </w:tc>
      </w:tr>
      <w:tr w:rsidR="0060048B" w14:paraId="1600585E" w14:textId="77777777" w:rsidTr="000B3123">
        <w:tc>
          <w:tcPr>
            <w:tcW w:w="5080" w:type="dxa"/>
          </w:tcPr>
          <w:p w14:paraId="16EDE8F6" w14:textId="3791BAC9" w:rsidR="0060048B" w:rsidRDefault="000B3123">
            <w:pPr>
              <w:rPr>
                <w:b/>
                <w:bCs/>
                <w:i/>
                <w:iCs/>
                <w:lang w:val="it-IT"/>
              </w:rPr>
            </w:pPr>
            <w:proofErr w:type="spellStart"/>
            <w:r>
              <w:rPr>
                <w:rFonts w:ascii="Times-Roman" w:hAnsi="Times-Roman" w:cs="Times-Roman"/>
                <w:kern w:val="0"/>
                <w:lang w:val="en-GB"/>
              </w:rPr>
              <w:t>Objetivos</w:t>
            </w:r>
            <w:proofErr w:type="spellEnd"/>
            <w:r>
              <w:rPr>
                <w:rFonts w:ascii="Times-Roman" w:hAnsi="Times-Roman" w:cs="Times-Roman"/>
                <w:kern w:val="0"/>
                <w:lang w:val="en-GB"/>
              </w:rPr>
              <w:t xml:space="preserve"> secundarios</w:t>
            </w:r>
          </w:p>
        </w:tc>
        <w:tc>
          <w:tcPr>
            <w:tcW w:w="5268" w:type="dxa"/>
          </w:tcPr>
          <w:p w14:paraId="400EE1FC" w14:textId="68D597BC" w:rsidR="0060048B" w:rsidRDefault="000B3123" w:rsidP="000B3123">
            <w:pPr>
              <w:jc w:val="both"/>
              <w:rPr>
                <w:b/>
                <w:bCs/>
                <w:i/>
                <w:iCs/>
                <w:lang w:val="it-IT"/>
              </w:rPr>
            </w:pPr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Validar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prospectivamente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el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CHOLE-POSSUM PRO para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predecir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las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complicaciones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mayores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(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Clavien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-Dindo ≥ 3) en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pacientes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sometidos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colecistectomía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por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colecistitis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aguda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calculosa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.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Evaluar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la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correlación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entre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el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CHOLE-POSSUM </w:t>
            </w:r>
            <w:r w:rsidRPr="000B3123">
              <w:rPr>
                <w:rFonts w:ascii="Times-Roman" w:hAnsi="Times-Roman" w:cs="Times-Roman"/>
                <w:kern w:val="0"/>
                <w:lang w:val="it-IT"/>
              </w:rPr>
              <w:lastRenderedPageBreak/>
              <w:t xml:space="preserve">PRO y la PCT con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las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complicaciones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intraoperatorias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, la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duración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de la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intervención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, la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tasa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de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conversión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, la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duración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de la estancia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hospitalaria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, la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readmisión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a 30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días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y la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positividad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de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hemocultivos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y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bilicultivos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>.</w:t>
            </w:r>
          </w:p>
        </w:tc>
      </w:tr>
      <w:tr w:rsidR="0060048B" w14:paraId="5558E20F" w14:textId="77777777" w:rsidTr="000B3123">
        <w:tc>
          <w:tcPr>
            <w:tcW w:w="5080" w:type="dxa"/>
          </w:tcPr>
          <w:p w14:paraId="264ABD21" w14:textId="5CF54321" w:rsidR="0060048B" w:rsidRDefault="000B3123">
            <w:pPr>
              <w:rPr>
                <w:b/>
                <w:bCs/>
                <w:i/>
                <w:iCs/>
                <w:lang w:val="it-IT"/>
              </w:rPr>
            </w:pPr>
            <w:proofErr w:type="spellStart"/>
            <w:r>
              <w:rPr>
                <w:rFonts w:ascii="Times-Roman" w:hAnsi="Times-Roman" w:cs="Times-Roman"/>
                <w:kern w:val="0"/>
                <w:lang w:val="en-GB"/>
              </w:rPr>
              <w:lastRenderedPageBreak/>
              <w:t>Tamaño</w:t>
            </w:r>
            <w:proofErr w:type="spellEnd"/>
            <w:r>
              <w:rPr>
                <w:rFonts w:ascii="Times-Roman" w:hAnsi="Times-Roman" w:cs="Times-Roman"/>
                <w:kern w:val="0"/>
                <w:lang w:val="en-GB"/>
              </w:rPr>
              <w:t xml:space="preserve"> de la muestra</w:t>
            </w:r>
          </w:p>
        </w:tc>
        <w:tc>
          <w:tcPr>
            <w:tcW w:w="5268" w:type="dxa"/>
          </w:tcPr>
          <w:p w14:paraId="1C46708F" w14:textId="0DE99F43" w:rsidR="0060048B" w:rsidRDefault="000B3123" w:rsidP="000B3123">
            <w:pPr>
              <w:jc w:val="both"/>
              <w:rPr>
                <w:b/>
                <w:bCs/>
                <w:i/>
                <w:iCs/>
                <w:lang w:val="it-IT"/>
              </w:rPr>
            </w:pP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Basándonos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en la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viabilidad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,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prevemos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reclutar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entre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2000 y 2500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pacientes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en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los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que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es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posible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calcular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la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nueva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puntuación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.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Basamos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el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tamaño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de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nuestra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muestra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en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el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objetivo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principal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, la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capacidad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de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discriminación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de la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nueva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puntuación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para identificar 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los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pacientes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con muerte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perioperatoria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. La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puntuación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propuesta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muestra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un AUC-ROC de 0,95 en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nuestros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datos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. La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mortalidad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perioperatoria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se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obtiene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de la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literatura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y es del 1,1%; dado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el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tamaño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de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muestra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previsto,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podremos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excluir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que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el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AUC-ROC en la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cohorte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de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validación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sea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superior a 0,80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cuando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el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AUC-ROC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observado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efectivamente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es 0,91 o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más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con una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potencia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del 80% o superior y un alfa (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unilateral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>) de 0,025.</w:t>
            </w:r>
          </w:p>
        </w:tc>
      </w:tr>
      <w:tr w:rsidR="0060048B" w14:paraId="798B07BD" w14:textId="77777777" w:rsidTr="000B3123">
        <w:tc>
          <w:tcPr>
            <w:tcW w:w="5080" w:type="dxa"/>
          </w:tcPr>
          <w:p w14:paraId="4DE5378F" w14:textId="3AF71A8A" w:rsidR="0060048B" w:rsidRDefault="000B3123" w:rsidP="000B3123">
            <w:pPr>
              <w:jc w:val="both"/>
              <w:rPr>
                <w:b/>
                <w:bCs/>
                <w:i/>
                <w:iCs/>
                <w:lang w:val="it-IT"/>
              </w:rPr>
            </w:pPr>
            <w:proofErr w:type="spellStart"/>
            <w:r>
              <w:rPr>
                <w:rFonts w:ascii="Times-Roman" w:hAnsi="Times-Roman" w:cs="Times-Roman"/>
                <w:kern w:val="0"/>
                <w:lang w:val="en-GB"/>
              </w:rPr>
              <w:t>Duración</w:t>
            </w:r>
            <w:proofErr w:type="spellEnd"/>
            <w:r>
              <w:rPr>
                <w:rFonts w:ascii="Times-Roman" w:hAnsi="Times-Roman" w:cs="Times-Roman"/>
                <w:kern w:val="0"/>
                <w:lang w:val="en-GB"/>
              </w:rPr>
              <w:t xml:space="preserve"> del </w:t>
            </w:r>
            <w:proofErr w:type="spellStart"/>
            <w:r>
              <w:rPr>
                <w:rFonts w:ascii="Times-Roman" w:hAnsi="Times-Roman" w:cs="Times-Roman"/>
                <w:kern w:val="0"/>
                <w:lang w:val="en-GB"/>
              </w:rPr>
              <w:t>seguimiento</w:t>
            </w:r>
            <w:proofErr w:type="spellEnd"/>
          </w:p>
        </w:tc>
        <w:tc>
          <w:tcPr>
            <w:tcW w:w="5268" w:type="dxa"/>
          </w:tcPr>
          <w:p w14:paraId="6D91482E" w14:textId="160FFDD6" w:rsidR="0060048B" w:rsidRPr="000B3123" w:rsidRDefault="000B3123" w:rsidP="000B3123">
            <w:pPr>
              <w:jc w:val="both"/>
              <w:rPr>
                <w:b/>
                <w:bCs/>
                <w:i/>
                <w:iCs/>
                <w:lang w:val="it-IT"/>
              </w:rPr>
            </w:pPr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El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seguimiento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durará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30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días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desde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el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 xml:space="preserve"> alta </w:t>
            </w:r>
            <w:proofErr w:type="spellStart"/>
            <w:r w:rsidRPr="000B3123">
              <w:rPr>
                <w:rFonts w:ascii="Times-Roman" w:hAnsi="Times-Roman" w:cs="Times-Roman"/>
                <w:kern w:val="0"/>
                <w:lang w:val="it-IT"/>
              </w:rPr>
              <w:t>hospitalaria</w:t>
            </w:r>
            <w:proofErr w:type="spellEnd"/>
            <w:r w:rsidRPr="000B3123">
              <w:rPr>
                <w:rFonts w:ascii="Times-Roman" w:hAnsi="Times-Roman" w:cs="Times-Roman"/>
                <w:kern w:val="0"/>
                <w:lang w:val="it-IT"/>
              </w:rPr>
              <w:t>.</w:t>
            </w:r>
          </w:p>
        </w:tc>
      </w:tr>
      <w:tr w:rsidR="0060048B" w14:paraId="114A8E0E" w14:textId="77777777" w:rsidTr="000B3123">
        <w:tc>
          <w:tcPr>
            <w:tcW w:w="5080" w:type="dxa"/>
          </w:tcPr>
          <w:p w14:paraId="65B4E79A" w14:textId="7630C9E5" w:rsidR="0060048B" w:rsidRDefault="000B3123">
            <w:pPr>
              <w:rPr>
                <w:b/>
                <w:bCs/>
                <w:i/>
                <w:iCs/>
                <w:lang w:val="it-IT"/>
              </w:rPr>
            </w:pPr>
            <w:proofErr w:type="spellStart"/>
            <w:r>
              <w:rPr>
                <w:rFonts w:ascii="Times-Roman" w:hAnsi="Times-Roman" w:cs="Times-Roman"/>
                <w:kern w:val="0"/>
                <w:lang w:val="en-GB"/>
              </w:rPr>
              <w:t>Duración</w:t>
            </w:r>
            <w:proofErr w:type="spellEnd"/>
            <w:r>
              <w:rPr>
                <w:rFonts w:ascii="Times-Roman" w:hAnsi="Times-Roman" w:cs="Times-Roman"/>
                <w:kern w:val="0"/>
                <w:lang w:val="en-GB"/>
              </w:rPr>
              <w:t xml:space="preserve"> del </w:t>
            </w:r>
            <w:proofErr w:type="spellStart"/>
            <w:r>
              <w:rPr>
                <w:rFonts w:ascii="Times-Roman" w:hAnsi="Times-Roman" w:cs="Times-Roman"/>
                <w:kern w:val="0"/>
                <w:lang w:val="en-GB"/>
              </w:rPr>
              <w:t>estudio</w:t>
            </w:r>
            <w:proofErr w:type="spellEnd"/>
          </w:p>
        </w:tc>
        <w:tc>
          <w:tcPr>
            <w:tcW w:w="5268" w:type="dxa"/>
          </w:tcPr>
          <w:p w14:paraId="6825E838" w14:textId="1DFF3926" w:rsidR="0060048B" w:rsidRDefault="000B3123">
            <w:pPr>
              <w:rPr>
                <w:b/>
                <w:bCs/>
                <w:i/>
                <w:iCs/>
                <w:lang w:val="it-IT"/>
              </w:rPr>
            </w:pPr>
            <w:r>
              <w:rPr>
                <w:rFonts w:ascii="Times-Roman" w:hAnsi="Times-Roman" w:cs="Times-Roman"/>
                <w:kern w:val="0"/>
                <w:lang w:val="en-GB"/>
              </w:rPr>
              <w:t>25 meses</w:t>
            </w:r>
          </w:p>
        </w:tc>
      </w:tr>
    </w:tbl>
    <w:p w14:paraId="0704FC3D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62F76CC7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421D11E5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0842A478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11B4F743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585FECA8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69CA0481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6F03D0A0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1F49893B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38298924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1E870E67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405220AF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463626F3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3F450A38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34821DA7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0236231A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39B8100C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3D88406E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75193D3F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5CFF744A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2D8502C8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3F11005B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75751F5E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4A194E5C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7719A91F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17B18E48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11AADD54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1C778137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60FB8B64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26274364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7FDAAEDB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6EEF3628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3EB82965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681809FF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46F69CC9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093DC863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22C0B527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4EC60155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08055ED8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12597211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3617532E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7CEB25F6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2B4FDC30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02023FEE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69358D92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7AD9935D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3874A6C7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</w:pPr>
    </w:p>
    <w:p w14:paraId="6FE215F1" w14:textId="399E8450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</w:pPr>
      <w:r w:rsidRPr="000B3123">
        <w:rPr>
          <w:rFonts w:ascii="Times New Roman" w:hAnsi="Times New Roman" w:cs="Times New Roman"/>
          <w:color w:val="000000"/>
          <w:kern w:val="0"/>
          <w:sz w:val="12"/>
          <w:szCs w:val="12"/>
          <w:lang w:val="it-IT"/>
        </w:rPr>
        <w:t>1</w:t>
      </w:r>
      <w:r w:rsidRPr="000B3123">
        <w:rPr>
          <w:rFonts w:ascii="Times New Roman" w:hAnsi="Times New Roman" w:cs="Times New Roman"/>
          <w:color w:val="000000"/>
          <w:kern w:val="0"/>
          <w:sz w:val="19"/>
          <w:szCs w:val="19"/>
          <w:lang w:val="it-IT"/>
        </w:rPr>
        <w:t xml:space="preserve"> </w:t>
      </w:r>
      <w:proofErr w:type="spellStart"/>
      <w:r w:rsidRPr="000B3123">
        <w:rPr>
          <w:rFonts w:ascii="Times New Roman" w:hAnsi="Times New Roman" w:cs="Times New Roman"/>
          <w:color w:val="000000"/>
          <w:kern w:val="0"/>
          <w:sz w:val="19"/>
          <w:szCs w:val="19"/>
          <w:lang w:val="it-IT"/>
        </w:rPr>
        <w:t>Yokoe</w:t>
      </w:r>
      <w:proofErr w:type="spellEnd"/>
      <w:r w:rsidRPr="000B3123">
        <w:rPr>
          <w:rFonts w:ascii="Times New Roman" w:hAnsi="Times New Roman" w:cs="Times New Roman"/>
          <w:color w:val="000000"/>
          <w:kern w:val="0"/>
          <w:sz w:val="19"/>
          <w:szCs w:val="19"/>
          <w:lang w:val="it-IT"/>
        </w:rPr>
        <w:t xml:space="preserve"> M, </w:t>
      </w:r>
      <w:proofErr w:type="spellStart"/>
      <w:r w:rsidRPr="000B3123">
        <w:rPr>
          <w:rFonts w:ascii="Times New Roman" w:hAnsi="Times New Roman" w:cs="Times New Roman"/>
          <w:color w:val="000000"/>
          <w:kern w:val="0"/>
          <w:sz w:val="19"/>
          <w:szCs w:val="19"/>
          <w:lang w:val="it-IT"/>
        </w:rPr>
        <w:t>Hata</w:t>
      </w:r>
      <w:proofErr w:type="spellEnd"/>
      <w:r w:rsidRPr="000B3123">
        <w:rPr>
          <w:rFonts w:ascii="Times New Roman" w:hAnsi="Times New Roman" w:cs="Times New Roman"/>
          <w:color w:val="000000"/>
          <w:kern w:val="0"/>
          <w:sz w:val="19"/>
          <w:szCs w:val="19"/>
          <w:lang w:val="it-IT"/>
        </w:rPr>
        <w:t xml:space="preserve"> J, </w:t>
      </w:r>
      <w:proofErr w:type="spellStart"/>
      <w:r w:rsidRPr="000B3123">
        <w:rPr>
          <w:rFonts w:ascii="Times New Roman" w:hAnsi="Times New Roman" w:cs="Times New Roman"/>
          <w:color w:val="000000"/>
          <w:kern w:val="0"/>
          <w:sz w:val="19"/>
          <w:szCs w:val="19"/>
          <w:lang w:val="it-IT"/>
        </w:rPr>
        <w:t>Takada</w:t>
      </w:r>
      <w:proofErr w:type="spellEnd"/>
      <w:r w:rsidRPr="000B3123">
        <w:rPr>
          <w:rFonts w:ascii="Times New Roman" w:hAnsi="Times New Roman" w:cs="Times New Roman"/>
          <w:color w:val="000000"/>
          <w:kern w:val="0"/>
          <w:sz w:val="19"/>
          <w:szCs w:val="19"/>
          <w:lang w:val="it-IT"/>
        </w:rPr>
        <w:t xml:space="preserve"> T, Strasberg SM, </w:t>
      </w:r>
      <w:proofErr w:type="spellStart"/>
      <w:r w:rsidRPr="000B3123">
        <w:rPr>
          <w:rFonts w:ascii="Times New Roman" w:hAnsi="Times New Roman" w:cs="Times New Roman"/>
          <w:color w:val="000000"/>
          <w:kern w:val="0"/>
          <w:sz w:val="19"/>
          <w:szCs w:val="19"/>
          <w:lang w:val="it-IT"/>
        </w:rPr>
        <w:t>Asbun</w:t>
      </w:r>
      <w:proofErr w:type="spellEnd"/>
      <w:r w:rsidRPr="000B3123">
        <w:rPr>
          <w:rFonts w:ascii="Times New Roman" w:hAnsi="Times New Roman" w:cs="Times New Roman"/>
          <w:color w:val="000000"/>
          <w:kern w:val="0"/>
          <w:sz w:val="19"/>
          <w:szCs w:val="19"/>
          <w:lang w:val="it-IT"/>
        </w:rPr>
        <w:t xml:space="preserve"> HJ, </w:t>
      </w:r>
      <w:proofErr w:type="spellStart"/>
      <w:r w:rsidRPr="000B3123">
        <w:rPr>
          <w:rFonts w:ascii="Times New Roman" w:hAnsi="Times New Roman" w:cs="Times New Roman"/>
          <w:color w:val="000000"/>
          <w:kern w:val="0"/>
          <w:sz w:val="19"/>
          <w:szCs w:val="19"/>
          <w:lang w:val="it-IT"/>
        </w:rPr>
        <w:t>Wakabayashi</w:t>
      </w:r>
      <w:proofErr w:type="spellEnd"/>
      <w:r w:rsidRPr="000B3123">
        <w:rPr>
          <w:rFonts w:ascii="Times New Roman" w:hAnsi="Times New Roman" w:cs="Times New Roman"/>
          <w:color w:val="000000"/>
          <w:kern w:val="0"/>
          <w:sz w:val="19"/>
          <w:szCs w:val="19"/>
          <w:lang w:val="it-IT"/>
        </w:rPr>
        <w:t xml:space="preserve"> G, et al. </w:t>
      </w: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Tokyo Guidelines 2018: diagnostic</w:t>
      </w:r>
    </w:p>
    <w:p w14:paraId="4F70AF51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</w:pP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criteria and severity grading of acute cholecystitis (with videos). J Hepatobiliary 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Pancreat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 Sci. 2018;25(1):41–54.</w:t>
      </w:r>
    </w:p>
    <w:p w14:paraId="31029E81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</w:pPr>
      <w:r>
        <w:rPr>
          <w:rFonts w:ascii="Times New Roman" w:hAnsi="Times New Roman" w:cs="Times New Roman"/>
          <w:color w:val="000000"/>
          <w:kern w:val="0"/>
          <w:sz w:val="12"/>
          <w:szCs w:val="12"/>
          <w:lang w:val="en-GB"/>
        </w:rPr>
        <w:t>2</w:t>
      </w: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 Khoury T, 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Kadah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 A, Mari A, 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Kalisky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 I, Katz L, 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Mahamid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 M, et al. A validated score predicting common bile </w:t>
      </w:r>
      <w:proofErr w:type="gram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duct</w:t>
      </w:r>
      <w:proofErr w:type="gramEnd"/>
    </w:p>
    <w:p w14:paraId="4C8779CD" w14:textId="77777777" w:rsidR="000B3123" w:rsidRDefault="000B3123" w:rsidP="000B31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</w:pP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stone in patients hospitalized with acute calculus cholecystitis: a multi-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center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 retrospective study. 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Surg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Endosc</w:t>
      </w:r>
      <w:proofErr w:type="spellEnd"/>
    </w:p>
    <w:p w14:paraId="5628822A" w14:textId="04589D7F" w:rsidR="0060048B" w:rsidRPr="000B3123" w:rsidRDefault="000B3123" w:rsidP="000B3123">
      <w:pPr>
        <w:rPr>
          <w:b/>
          <w:bCs/>
          <w:i/>
          <w:iCs/>
          <w:lang w:val="en-US"/>
        </w:rPr>
      </w:pP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[Internet]. 2020;(0123456789). Available from: https://doi.org/10.1007/s00464-020-07853-5</w:t>
      </w:r>
    </w:p>
    <w:sectPr w:rsidR="0060048B" w:rsidRPr="000B3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FA"/>
    <w:rsid w:val="000B3123"/>
    <w:rsid w:val="0060048B"/>
    <w:rsid w:val="006B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473AE9"/>
  <w15:chartTrackingRefBased/>
  <w15:docId w15:val="{CA28C4CB-AF7F-3348-846E-CCAD888C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A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0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DAGNONI ANDREA</dc:creator>
  <cp:keywords/>
  <dc:description/>
  <cp:lastModifiedBy>DAGNONI ANDREA</cp:lastModifiedBy>
  <cp:revision>1</cp:revision>
  <dcterms:created xsi:type="dcterms:W3CDTF">2024-07-05T11:23:00Z</dcterms:created>
  <dcterms:modified xsi:type="dcterms:W3CDTF">2024-07-05T12:16:00Z</dcterms:modified>
</cp:coreProperties>
</file>